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CD026B" w:rsidRDefault="00CD026B" w:rsidP="00CD026B"/>
    <w:p w:rsidR="00CD026B" w:rsidRPr="00CD026B" w:rsidRDefault="00CD026B" w:rsidP="00CD026B"/>
    <w:p w:rsidR="00544A11" w:rsidRDefault="00544A11" w:rsidP="00CD026B">
      <w:pPr>
        <w:tabs>
          <w:tab w:val="left" w:pos="2268"/>
        </w:tabs>
        <w:rPr>
          <w:b/>
          <w:bCs/>
        </w:rPr>
      </w:pPr>
      <w:r>
        <w:rPr>
          <w:b/>
          <w:bCs/>
        </w:rPr>
        <w:t>To:</w:t>
      </w:r>
      <w:r w:rsidR="008A29B5">
        <w:rPr>
          <w:b/>
          <w:bCs/>
        </w:rPr>
        <w:t xml:space="preserve">  </w:t>
      </w:r>
      <w:r w:rsidR="00CD026B">
        <w:rPr>
          <w:b/>
          <w:bCs/>
        </w:rPr>
        <w:tab/>
      </w:r>
      <w:r w:rsidR="008A29B5">
        <w:rPr>
          <w:b/>
          <w:bCs/>
        </w:rPr>
        <w:t>Council</w:t>
      </w:r>
    </w:p>
    <w:p w:rsidR="00544A11" w:rsidRDefault="00544A11" w:rsidP="00CD026B">
      <w:pPr>
        <w:tabs>
          <w:tab w:val="left" w:pos="2268"/>
        </w:tabs>
        <w:rPr>
          <w:b/>
          <w:bCs/>
        </w:rPr>
      </w:pPr>
    </w:p>
    <w:p w:rsidR="00544A11" w:rsidRDefault="00544A11" w:rsidP="00CD026B">
      <w:pPr>
        <w:tabs>
          <w:tab w:val="left" w:pos="2268"/>
          <w:tab w:val="left" w:pos="6300"/>
          <w:tab w:val="left" w:pos="7380"/>
        </w:tabs>
        <w:rPr>
          <w:b/>
          <w:bCs/>
        </w:rPr>
      </w:pPr>
      <w:r>
        <w:rPr>
          <w:b/>
          <w:bCs/>
        </w:rPr>
        <w:t>Date:</w:t>
      </w:r>
      <w:r w:rsidR="004F7A3D">
        <w:rPr>
          <w:b/>
          <w:bCs/>
        </w:rPr>
        <w:t xml:space="preserve">  </w:t>
      </w:r>
      <w:r w:rsidR="00CD026B">
        <w:rPr>
          <w:b/>
          <w:bCs/>
        </w:rPr>
        <w:tab/>
      </w:r>
      <w:r w:rsidR="00EB3D3A">
        <w:rPr>
          <w:b/>
          <w:bCs/>
        </w:rPr>
        <w:t xml:space="preserve">24 </w:t>
      </w:r>
      <w:r w:rsidR="002A65FA">
        <w:rPr>
          <w:b/>
          <w:bCs/>
        </w:rPr>
        <w:t>April 2017</w:t>
      </w:r>
    </w:p>
    <w:p w:rsidR="00544A11" w:rsidRDefault="00544A11" w:rsidP="00CD026B">
      <w:pPr>
        <w:tabs>
          <w:tab w:val="left" w:pos="2268"/>
        </w:tabs>
        <w:jc w:val="right"/>
        <w:rPr>
          <w:b/>
          <w:bCs/>
        </w:rPr>
      </w:pPr>
    </w:p>
    <w:p w:rsidR="00544A11" w:rsidRDefault="00544A11" w:rsidP="00CD026B">
      <w:pPr>
        <w:tabs>
          <w:tab w:val="left" w:pos="2268"/>
        </w:tabs>
        <w:rPr>
          <w:b/>
          <w:bCs/>
        </w:rPr>
      </w:pPr>
      <w:r>
        <w:rPr>
          <w:b/>
          <w:bCs/>
        </w:rPr>
        <w:t>Report of:</w:t>
      </w:r>
      <w:r w:rsidR="008A29B5">
        <w:rPr>
          <w:b/>
          <w:bCs/>
        </w:rPr>
        <w:t xml:space="preserve">  </w:t>
      </w:r>
      <w:r w:rsidR="00CD026B">
        <w:rPr>
          <w:b/>
          <w:bCs/>
        </w:rPr>
        <w:tab/>
      </w:r>
      <w:r w:rsidR="008A29B5">
        <w:rPr>
          <w:b/>
          <w:bCs/>
        </w:rPr>
        <w:t>Monitoring Officer</w:t>
      </w:r>
    </w:p>
    <w:p w:rsidR="00544A11" w:rsidRDefault="00544A11" w:rsidP="00CD026B">
      <w:pPr>
        <w:tabs>
          <w:tab w:val="left" w:pos="2268"/>
        </w:tabs>
        <w:rPr>
          <w:b/>
          <w:bCs/>
        </w:rPr>
      </w:pPr>
    </w:p>
    <w:p w:rsidR="00544A11" w:rsidRDefault="00544A11" w:rsidP="00CD026B">
      <w:pPr>
        <w:tabs>
          <w:tab w:val="left" w:pos="2268"/>
        </w:tabs>
        <w:rPr>
          <w:b/>
          <w:bCs/>
        </w:rPr>
      </w:pPr>
      <w:r>
        <w:rPr>
          <w:b/>
          <w:bCs/>
        </w:rPr>
        <w:t>Title of Report:</w:t>
      </w:r>
      <w:r w:rsidR="002A65FA">
        <w:rPr>
          <w:b/>
          <w:bCs/>
        </w:rPr>
        <w:t xml:space="preserve">  </w:t>
      </w:r>
      <w:r w:rsidR="00CD026B">
        <w:rPr>
          <w:b/>
          <w:bCs/>
        </w:rPr>
        <w:tab/>
        <w:t xml:space="preserve">Constitution Review </w:t>
      </w:r>
      <w:r w:rsidR="002A65FA">
        <w:rPr>
          <w:b/>
          <w:bCs/>
        </w:rPr>
        <w:t>2017</w:t>
      </w:r>
    </w:p>
    <w:p w:rsidR="00544A11" w:rsidRDefault="00544A11">
      <w:pPr>
        <w:jc w:val="center"/>
        <w:rPr>
          <w:b/>
          <w:bCs/>
        </w:rPr>
      </w:pPr>
    </w:p>
    <w:p w:rsidR="00544A11" w:rsidRDefault="00544A11">
      <w:pPr>
        <w:pStyle w:val="Heading1"/>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C22F72">
        <w:t xml:space="preserve">This report recommends changes to the Council’s constitution. </w:t>
      </w:r>
    </w:p>
    <w:p w:rsidR="00544A11" w:rsidRDefault="00544A11" w:rsidP="008507A2">
      <w:pPr>
        <w:pBdr>
          <w:top w:val="single" w:sz="4" w:space="1" w:color="auto"/>
          <w:left w:val="single" w:sz="4" w:space="4" w:color="auto"/>
          <w:bottom w:val="single" w:sz="4" w:space="1" w:color="auto"/>
          <w:right w:val="single" w:sz="4" w:space="0" w:color="auto"/>
        </w:pBdr>
      </w:pP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D4311C" w:rsidRDefault="00C22F72" w:rsidP="00D4311C">
      <w:pPr>
        <w:pBdr>
          <w:top w:val="single" w:sz="4" w:space="1" w:color="auto"/>
          <w:left w:val="single" w:sz="4" w:space="4" w:color="auto"/>
          <w:bottom w:val="single" w:sz="4" w:space="1" w:color="auto"/>
          <w:right w:val="single" w:sz="4" w:space="0" w:color="auto"/>
        </w:pBdr>
        <w:tabs>
          <w:tab w:val="left" w:pos="3048"/>
        </w:tabs>
      </w:pPr>
      <w:r>
        <w:rPr>
          <w:b/>
        </w:rPr>
        <w:t xml:space="preserve">Recommendation(s): </w:t>
      </w:r>
      <w:r w:rsidRPr="00C22F72">
        <w:t>Council is RECOMMENDED</w:t>
      </w:r>
      <w:r>
        <w:t xml:space="preserve"> to approve</w:t>
      </w:r>
      <w:r w:rsidR="008507A2">
        <w:t>, with immediate effect,</w:t>
      </w:r>
      <w:r>
        <w:t xml:space="preserve"> the amendments to the Constitution outlined in</w:t>
      </w:r>
      <w:r w:rsidR="00D4311C">
        <w:t xml:space="preserve"> the repo</w:t>
      </w:r>
      <w:r w:rsidR="00CD026B">
        <w:t xml:space="preserve">rt and detailed in appendices 1 to </w:t>
      </w:r>
      <w:r w:rsidR="00D4311C">
        <w:t>4.</w:t>
      </w:r>
    </w:p>
    <w:p w:rsidR="00544A11" w:rsidRDefault="00544A11" w:rsidP="000A3296">
      <w:pPr>
        <w:pBdr>
          <w:top w:val="single" w:sz="4" w:space="1" w:color="auto"/>
          <w:left w:val="single" w:sz="4" w:space="4" w:color="auto"/>
          <w:bottom w:val="single" w:sz="4" w:space="1" w:color="auto"/>
          <w:right w:val="single" w:sz="4" w:space="0" w:color="auto"/>
        </w:pBdr>
        <w:tabs>
          <w:tab w:val="left" w:pos="3048"/>
        </w:tabs>
        <w:rPr>
          <w:b/>
        </w:rPr>
      </w:pPr>
    </w:p>
    <w:p w:rsidR="00544A11" w:rsidRDefault="00544A11"/>
    <w:p w:rsidR="00544A11" w:rsidRPr="00CD026B" w:rsidRDefault="00544A11" w:rsidP="00CD026B">
      <w:pPr>
        <w:pBdr>
          <w:top w:val="single" w:sz="4" w:space="1" w:color="auto"/>
          <w:left w:val="single" w:sz="4" w:space="4" w:color="auto"/>
          <w:bottom w:val="single" w:sz="4" w:space="1" w:color="auto"/>
          <w:right w:val="single" w:sz="4" w:space="4" w:color="auto"/>
        </w:pBdr>
        <w:spacing w:after="120"/>
        <w:rPr>
          <w:b/>
        </w:rPr>
      </w:pPr>
      <w:r w:rsidRPr="00CF4F79">
        <w:rPr>
          <w:b/>
        </w:rPr>
        <w:t>Appendices</w:t>
      </w:r>
    </w:p>
    <w:p w:rsidR="00544A11" w:rsidRDefault="00F55C71" w:rsidP="00CD026B">
      <w:pPr>
        <w:pBdr>
          <w:top w:val="single" w:sz="4" w:space="1" w:color="auto"/>
          <w:left w:val="single" w:sz="4" w:space="4" w:color="auto"/>
          <w:bottom w:val="single" w:sz="4" w:space="1" w:color="auto"/>
          <w:right w:val="single" w:sz="4" w:space="4" w:color="auto"/>
        </w:pBdr>
        <w:spacing w:after="120"/>
      </w:pPr>
      <w:r>
        <w:t>Appendix 1</w:t>
      </w:r>
      <w:r w:rsidR="00F47B96">
        <w:t xml:space="preserve"> </w:t>
      </w:r>
      <w:r w:rsidR="004E6A70">
        <w:t>–</w:t>
      </w:r>
      <w:r w:rsidR="00544A11">
        <w:t xml:space="preserve"> </w:t>
      </w:r>
      <w:r w:rsidR="00054D35">
        <w:t>Petitions</w:t>
      </w:r>
      <w:r w:rsidR="009D3C6F">
        <w:t xml:space="preserve"> </w:t>
      </w:r>
      <w:r w:rsidR="00054D35">
        <w:t>Scheme</w:t>
      </w:r>
    </w:p>
    <w:p w:rsidR="00544A11" w:rsidRDefault="00F55C71" w:rsidP="00CD026B">
      <w:pPr>
        <w:pBdr>
          <w:top w:val="single" w:sz="4" w:space="1" w:color="auto"/>
          <w:left w:val="single" w:sz="4" w:space="4" w:color="auto"/>
          <w:bottom w:val="single" w:sz="4" w:space="1" w:color="auto"/>
          <w:right w:val="single" w:sz="4" w:space="4" w:color="auto"/>
        </w:pBdr>
        <w:spacing w:after="120"/>
      </w:pPr>
      <w:r>
        <w:t>Appendix 2</w:t>
      </w:r>
      <w:r w:rsidR="00F47B96">
        <w:t xml:space="preserve"> </w:t>
      </w:r>
      <w:r w:rsidR="00054D35">
        <w:t>–</w:t>
      </w:r>
      <w:r w:rsidR="00B0576B">
        <w:t xml:space="preserve"> </w:t>
      </w:r>
      <w:r w:rsidR="005C1E9B">
        <w:t>Contract Procedure Rules</w:t>
      </w:r>
    </w:p>
    <w:p w:rsidR="00D50754" w:rsidRDefault="00F55C71" w:rsidP="00CD026B">
      <w:pPr>
        <w:pBdr>
          <w:top w:val="single" w:sz="4" w:space="1" w:color="auto"/>
          <w:left w:val="single" w:sz="4" w:space="4" w:color="auto"/>
          <w:bottom w:val="single" w:sz="4" w:space="1" w:color="auto"/>
          <w:right w:val="single" w:sz="4" w:space="4" w:color="auto"/>
        </w:pBdr>
        <w:spacing w:after="120"/>
        <w:ind w:left="1418" w:hanging="1418"/>
      </w:pPr>
      <w:r>
        <w:t>Appendix 3</w:t>
      </w:r>
      <w:r w:rsidR="00F47B96">
        <w:t xml:space="preserve"> -</w:t>
      </w:r>
      <w:r w:rsidR="00544A11">
        <w:t xml:space="preserve"> </w:t>
      </w:r>
      <w:r w:rsidR="00F47B96" w:rsidRPr="00F7745B">
        <w:t>Miscellaneous proposed changes</w:t>
      </w:r>
    </w:p>
    <w:p w:rsidR="000677C9" w:rsidRDefault="000677C9" w:rsidP="00CD026B">
      <w:pPr>
        <w:pBdr>
          <w:top w:val="single" w:sz="4" w:space="1" w:color="auto"/>
          <w:left w:val="single" w:sz="4" w:space="4" w:color="auto"/>
          <w:bottom w:val="single" w:sz="4" w:space="1" w:color="auto"/>
          <w:right w:val="single" w:sz="4" w:space="4" w:color="auto"/>
        </w:pBdr>
        <w:spacing w:after="120"/>
        <w:ind w:left="1418" w:hanging="1418"/>
      </w:pPr>
      <w:r>
        <w:t>Appendix 4 – Annex to Whistleblowing Policy</w:t>
      </w:r>
    </w:p>
    <w:p w:rsidR="00E01D51" w:rsidRDefault="00E01D51" w:rsidP="00CD026B">
      <w:pPr>
        <w:spacing w:after="120"/>
        <w:rPr>
          <w:b/>
        </w:rPr>
      </w:pPr>
    </w:p>
    <w:p w:rsidR="00544A11" w:rsidRPr="00CD026B" w:rsidRDefault="00544A11" w:rsidP="00CD026B">
      <w:pPr>
        <w:spacing w:after="120"/>
        <w:rPr>
          <w:b/>
        </w:rPr>
      </w:pPr>
      <w:r w:rsidRPr="00CF4F79">
        <w:rPr>
          <w:b/>
        </w:rPr>
        <w:t>Summary of report</w:t>
      </w:r>
    </w:p>
    <w:p w:rsidR="00161F60" w:rsidRDefault="00D4311C" w:rsidP="00CD026B">
      <w:pPr>
        <w:pStyle w:val="ListParagraph"/>
        <w:numPr>
          <w:ilvl w:val="0"/>
          <w:numId w:val="1"/>
        </w:numPr>
        <w:spacing w:after="120"/>
        <w:ind w:left="567" w:hanging="425"/>
      </w:pPr>
      <w:r>
        <w:t>The Constitution is reviewed on an annual basis to ensure that it remains fit for purpose</w:t>
      </w:r>
      <w:r w:rsidR="00FC7779">
        <w:t>.</w:t>
      </w:r>
    </w:p>
    <w:p w:rsidR="00F85B1C" w:rsidRDefault="008507A2" w:rsidP="00CD026B">
      <w:pPr>
        <w:numPr>
          <w:ilvl w:val="0"/>
          <w:numId w:val="1"/>
        </w:numPr>
        <w:spacing w:after="120"/>
        <w:ind w:left="567" w:hanging="425"/>
      </w:pPr>
      <w:r>
        <w:t xml:space="preserve">The report proposes changes to the </w:t>
      </w:r>
      <w:r w:rsidR="00EC2EC3">
        <w:t xml:space="preserve">provisions contained in the </w:t>
      </w:r>
      <w:r w:rsidR="00161F60">
        <w:t>Council Procedures</w:t>
      </w:r>
      <w:r>
        <w:t xml:space="preserve">, </w:t>
      </w:r>
      <w:r w:rsidR="002F457A">
        <w:t xml:space="preserve">the Call-in Procedures </w:t>
      </w:r>
      <w:r>
        <w:t xml:space="preserve">and </w:t>
      </w:r>
      <w:r w:rsidR="00081723">
        <w:t xml:space="preserve">the </w:t>
      </w:r>
      <w:r w:rsidR="00081723" w:rsidRPr="00081723">
        <w:t>Code of Practice for dealing with planning applications at Area Planning Committees and</w:t>
      </w:r>
      <w:r w:rsidR="00D4311C">
        <w:t xml:space="preserve"> the </w:t>
      </w:r>
      <w:r w:rsidR="00081723" w:rsidRPr="00081723">
        <w:t>Planning Review Committee</w:t>
      </w:r>
      <w:r w:rsidR="008819E5">
        <w:t xml:space="preserve">. </w:t>
      </w:r>
      <w:r w:rsidR="0019652A">
        <w:t xml:space="preserve">Revised </w:t>
      </w:r>
      <w:r w:rsidR="00EC2EC3">
        <w:t>provisions</w:t>
      </w:r>
      <w:r w:rsidR="0019652A">
        <w:t xml:space="preserve">, track </w:t>
      </w:r>
      <w:r w:rsidR="00F55C71">
        <w:t xml:space="preserve">changed, </w:t>
      </w:r>
      <w:r w:rsidR="009B0D52">
        <w:t>are attached as</w:t>
      </w:r>
      <w:r w:rsidR="004027C7">
        <w:t xml:space="preserve"> </w:t>
      </w:r>
      <w:r w:rsidR="004027C7" w:rsidRPr="008507A2">
        <w:rPr>
          <w:b/>
        </w:rPr>
        <w:lastRenderedPageBreak/>
        <w:t>Appendices</w:t>
      </w:r>
      <w:r w:rsidR="00F55C71" w:rsidRPr="008507A2">
        <w:rPr>
          <w:b/>
        </w:rPr>
        <w:t xml:space="preserve"> 1</w:t>
      </w:r>
      <w:r w:rsidR="00B2757F">
        <w:rPr>
          <w:b/>
        </w:rPr>
        <w:t xml:space="preserve"> and</w:t>
      </w:r>
      <w:r>
        <w:rPr>
          <w:b/>
        </w:rPr>
        <w:t xml:space="preserve"> 2</w:t>
      </w:r>
      <w:r w:rsidR="0019652A">
        <w:t>.</w:t>
      </w:r>
      <w:r w:rsidR="008819E5">
        <w:t xml:space="preserve"> </w:t>
      </w:r>
      <w:r>
        <w:t>Miscellaneous</w:t>
      </w:r>
      <w:r w:rsidR="004027C7">
        <w:t xml:space="preserve"> changes are</w:t>
      </w:r>
      <w:r>
        <w:t xml:space="preserve"> also p</w:t>
      </w:r>
      <w:r w:rsidR="004E6A70">
        <w:t>roposed. T</w:t>
      </w:r>
      <w:r>
        <w:t>he</w:t>
      </w:r>
      <w:r w:rsidR="00F047FA">
        <w:t>s</w:t>
      </w:r>
      <w:r>
        <w:t>e changes are shown</w:t>
      </w:r>
      <w:r w:rsidR="00D4311C">
        <w:t xml:space="preserve"> as tracked changes</w:t>
      </w:r>
      <w:r w:rsidR="004027C7">
        <w:t xml:space="preserve"> in </w:t>
      </w:r>
      <w:r w:rsidR="006A0963">
        <w:rPr>
          <w:b/>
        </w:rPr>
        <w:t>Appendix 3</w:t>
      </w:r>
      <w:r w:rsidR="008819E5">
        <w:t xml:space="preserve">. </w:t>
      </w:r>
    </w:p>
    <w:p w:rsidR="00F85B1C" w:rsidRDefault="00D4311C" w:rsidP="00CD026B">
      <w:pPr>
        <w:pStyle w:val="ListParagraph"/>
        <w:numPr>
          <w:ilvl w:val="0"/>
          <w:numId w:val="1"/>
        </w:numPr>
        <w:spacing w:after="120"/>
        <w:ind w:left="567" w:hanging="425"/>
      </w:pPr>
      <w:r>
        <w:t>The structure chart i</w:t>
      </w:r>
      <w:r w:rsidR="00F85B1C">
        <w:t>n section 9 of the Constitution will be updated to reflect the recent changes to the senior management structure.</w:t>
      </w:r>
    </w:p>
    <w:p w:rsidR="00E01D51" w:rsidRDefault="00E01D51" w:rsidP="00CD026B">
      <w:pPr>
        <w:spacing w:after="120"/>
        <w:rPr>
          <w:b/>
        </w:rPr>
      </w:pPr>
    </w:p>
    <w:p w:rsidR="00CD026B" w:rsidRDefault="00CD026B" w:rsidP="00CD026B">
      <w:pPr>
        <w:spacing w:after="120"/>
        <w:rPr>
          <w:b/>
        </w:rPr>
      </w:pPr>
    </w:p>
    <w:p w:rsidR="00CD026B" w:rsidRDefault="00CD026B" w:rsidP="00CD026B">
      <w:pPr>
        <w:spacing w:after="120"/>
        <w:rPr>
          <w:b/>
        </w:rPr>
      </w:pPr>
      <w:bookmarkStart w:id="0" w:name="_GoBack"/>
      <w:bookmarkEnd w:id="0"/>
    </w:p>
    <w:p w:rsidR="00157C3F" w:rsidRDefault="007B0025" w:rsidP="00CD026B">
      <w:pPr>
        <w:spacing w:after="120"/>
      </w:pPr>
      <w:r>
        <w:rPr>
          <w:b/>
        </w:rPr>
        <w:t>Petitions</w:t>
      </w:r>
      <w:r w:rsidR="004E6A70" w:rsidRPr="00CF4F79">
        <w:rPr>
          <w:b/>
        </w:rPr>
        <w:t xml:space="preserve"> Procedures</w:t>
      </w:r>
      <w:r w:rsidR="00B0576B">
        <w:t xml:space="preserve"> </w:t>
      </w:r>
      <w:r w:rsidR="00B0576B" w:rsidRPr="004D1BF1">
        <w:rPr>
          <w:b/>
        </w:rPr>
        <w:t>(Appendix 1)</w:t>
      </w:r>
    </w:p>
    <w:p w:rsidR="00D4311C" w:rsidRDefault="00D4311C" w:rsidP="00CD026B">
      <w:pPr>
        <w:pStyle w:val="ListParagraph"/>
        <w:numPr>
          <w:ilvl w:val="0"/>
          <w:numId w:val="1"/>
        </w:numPr>
        <w:spacing w:after="120"/>
        <w:ind w:left="567" w:hanging="425"/>
      </w:pPr>
      <w:r>
        <w:t>Extracts of Sections 1 and 11 of the Constitution Scheme are reproduced, with tracked changes, as Appendix 1. It is recommended that the Petitions Scheme which currently forms an annex to Section 11 of the Constitution is replaced with the scheme in Appendix 1. The proposed changes to the Pe</w:t>
      </w:r>
      <w:r>
        <w:t>titions Scheme are intended to:</w:t>
      </w:r>
    </w:p>
    <w:p w:rsidR="00D4311C" w:rsidRDefault="00D4311C" w:rsidP="00CD026B">
      <w:pPr>
        <w:pStyle w:val="ListParagraph"/>
        <w:numPr>
          <w:ilvl w:val="0"/>
          <w:numId w:val="24"/>
        </w:numPr>
        <w:spacing w:after="120"/>
        <w:ind w:left="1134" w:hanging="567"/>
      </w:pPr>
      <w:r>
        <w:t>simplify the process for dealing with petitions made to the Council and to take account of the different ways that petitions are submitted to the Council;</w:t>
      </w:r>
    </w:p>
    <w:p w:rsidR="00D4311C" w:rsidRDefault="00D4311C" w:rsidP="00CD026B">
      <w:pPr>
        <w:pStyle w:val="ListParagraph"/>
        <w:numPr>
          <w:ilvl w:val="0"/>
          <w:numId w:val="24"/>
        </w:numPr>
        <w:spacing w:after="120"/>
        <w:ind w:left="1134" w:hanging="567"/>
      </w:pPr>
      <w:r>
        <w:t>prevent misunderstandings when petitions are not properly submitted to the Council;</w:t>
      </w:r>
    </w:p>
    <w:p w:rsidR="00D4311C" w:rsidRDefault="00D4311C" w:rsidP="00CD026B">
      <w:pPr>
        <w:pStyle w:val="ListParagraph"/>
        <w:numPr>
          <w:ilvl w:val="0"/>
          <w:numId w:val="24"/>
        </w:numPr>
        <w:spacing w:after="120"/>
        <w:ind w:left="1134" w:hanging="567"/>
      </w:pPr>
      <w:r>
        <w:t>provide clarity around the process;</w:t>
      </w:r>
    </w:p>
    <w:p w:rsidR="00D4311C" w:rsidRDefault="00D4311C" w:rsidP="00CD026B">
      <w:pPr>
        <w:pStyle w:val="ListParagraph"/>
        <w:numPr>
          <w:ilvl w:val="0"/>
          <w:numId w:val="24"/>
        </w:numPr>
        <w:spacing w:after="120"/>
        <w:ind w:left="1134" w:hanging="567"/>
      </w:pPr>
      <w:r>
        <w:t>ensure that petitions are dealt with effectively rather than bureaucratically; and</w:t>
      </w:r>
    </w:p>
    <w:p w:rsidR="00D4311C" w:rsidRDefault="00D4311C" w:rsidP="00CD026B">
      <w:pPr>
        <w:pStyle w:val="ListParagraph"/>
        <w:numPr>
          <w:ilvl w:val="0"/>
          <w:numId w:val="24"/>
        </w:numPr>
        <w:spacing w:after="120"/>
        <w:ind w:left="1134" w:hanging="567"/>
      </w:pPr>
      <w:proofErr w:type="gramStart"/>
      <w:r>
        <w:t>retain</w:t>
      </w:r>
      <w:proofErr w:type="gramEnd"/>
      <w:r>
        <w:t xml:space="preserve"> the trigger for a full Council debate when 1500 signatures have been obtained but include a provision that this must be formally requested.</w:t>
      </w:r>
    </w:p>
    <w:p w:rsidR="00E01D51" w:rsidRPr="00CD026B" w:rsidRDefault="00E01D51" w:rsidP="00CD026B">
      <w:pPr>
        <w:spacing w:after="120"/>
        <w:rPr>
          <w:b/>
        </w:rPr>
      </w:pPr>
    </w:p>
    <w:p w:rsidR="00717259" w:rsidRDefault="005C1E9B" w:rsidP="00CD026B">
      <w:pPr>
        <w:spacing w:after="120"/>
      </w:pPr>
      <w:r>
        <w:rPr>
          <w:b/>
        </w:rPr>
        <w:t>Contract</w:t>
      </w:r>
      <w:r w:rsidR="00E5030E">
        <w:rPr>
          <w:b/>
        </w:rPr>
        <w:t xml:space="preserve"> Procedure</w:t>
      </w:r>
      <w:r>
        <w:rPr>
          <w:b/>
        </w:rPr>
        <w:t xml:space="preserve"> Rules</w:t>
      </w:r>
      <w:r w:rsidR="00E5030E">
        <w:rPr>
          <w:b/>
        </w:rPr>
        <w:t xml:space="preserve"> (Appendix 2</w:t>
      </w:r>
      <w:r w:rsidR="009F68C3" w:rsidRPr="009F68C3">
        <w:rPr>
          <w:b/>
        </w:rPr>
        <w:t>)</w:t>
      </w:r>
    </w:p>
    <w:p w:rsidR="00717259" w:rsidRDefault="005C1E9B" w:rsidP="00CD026B">
      <w:pPr>
        <w:pStyle w:val="ListParagraph"/>
        <w:numPr>
          <w:ilvl w:val="0"/>
          <w:numId w:val="1"/>
        </w:numPr>
        <w:spacing w:after="120"/>
        <w:ind w:left="567" w:hanging="425"/>
      </w:pPr>
      <w:r>
        <w:t>Section 19</w:t>
      </w:r>
      <w:r w:rsidR="00717259">
        <w:t xml:space="preserve"> of the Constitution is reproduced, wit</w:t>
      </w:r>
      <w:r>
        <w:t>h tracked changes, as Appendix 2</w:t>
      </w:r>
      <w:r w:rsidR="00717259">
        <w:t xml:space="preserve">. The </w:t>
      </w:r>
      <w:r w:rsidR="00D4311C">
        <w:t xml:space="preserve">proposed </w:t>
      </w:r>
      <w:r w:rsidR="00717259">
        <w:t xml:space="preserve">changes to the </w:t>
      </w:r>
      <w:r>
        <w:t>Contract</w:t>
      </w:r>
      <w:r w:rsidR="00717259">
        <w:t xml:space="preserve"> Procedure</w:t>
      </w:r>
      <w:r>
        <w:t xml:space="preserve"> Rules</w:t>
      </w:r>
      <w:r w:rsidR="00717259">
        <w:t xml:space="preserve"> are </w:t>
      </w:r>
      <w:r w:rsidR="00D4311C">
        <w:t>seek to:</w:t>
      </w:r>
    </w:p>
    <w:p w:rsidR="00717259" w:rsidRDefault="005C1E9B" w:rsidP="00CD026B">
      <w:pPr>
        <w:pStyle w:val="ListParagraph"/>
        <w:numPr>
          <w:ilvl w:val="0"/>
          <w:numId w:val="21"/>
        </w:numPr>
        <w:spacing w:after="120"/>
        <w:ind w:left="1134" w:hanging="567"/>
      </w:pPr>
      <w:r>
        <w:t>reflect current practice; and</w:t>
      </w:r>
    </w:p>
    <w:p w:rsidR="00E01D51" w:rsidRDefault="005C1E9B" w:rsidP="00CD026B">
      <w:pPr>
        <w:pStyle w:val="ListParagraph"/>
        <w:numPr>
          <w:ilvl w:val="0"/>
          <w:numId w:val="21"/>
        </w:numPr>
        <w:spacing w:after="120"/>
        <w:ind w:left="1134" w:hanging="567"/>
      </w:pPr>
      <w:proofErr w:type="gramStart"/>
      <w:r>
        <w:t>provide</w:t>
      </w:r>
      <w:proofErr w:type="gramEnd"/>
      <w:r>
        <w:t xml:space="preserve"> clarity</w:t>
      </w:r>
      <w:r w:rsidR="0011488C">
        <w:t>.</w:t>
      </w:r>
    </w:p>
    <w:p w:rsidR="00CD026B" w:rsidRPr="00CD026B" w:rsidRDefault="00CD026B" w:rsidP="00CD026B">
      <w:pPr>
        <w:pStyle w:val="ListParagraph"/>
        <w:spacing w:after="120"/>
        <w:ind w:left="1134"/>
      </w:pPr>
    </w:p>
    <w:p w:rsidR="00B4624A" w:rsidRDefault="00524B98" w:rsidP="00CD026B">
      <w:pPr>
        <w:spacing w:after="120"/>
      </w:pPr>
      <w:r w:rsidRPr="00CF4F79">
        <w:rPr>
          <w:b/>
        </w:rPr>
        <w:t>Miscellaneous Changes</w:t>
      </w:r>
      <w:r w:rsidR="00B2757F">
        <w:rPr>
          <w:b/>
        </w:rPr>
        <w:t xml:space="preserve"> (Appendix 3</w:t>
      </w:r>
      <w:r w:rsidRPr="00524B98">
        <w:rPr>
          <w:b/>
        </w:rPr>
        <w:t>)</w:t>
      </w:r>
    </w:p>
    <w:p w:rsidR="00ED6253" w:rsidRDefault="00AF5138" w:rsidP="00CD026B">
      <w:pPr>
        <w:pStyle w:val="ListParagraph"/>
        <w:numPr>
          <w:ilvl w:val="0"/>
          <w:numId w:val="1"/>
        </w:numPr>
        <w:spacing w:after="120"/>
        <w:ind w:left="567" w:hanging="425"/>
      </w:pPr>
      <w:r>
        <w:t>Extracts of the Constitution are reproduc</w:t>
      </w:r>
      <w:r w:rsidR="00D4311C">
        <w:t>ed, track changed, in Appendix 3</w:t>
      </w:r>
      <w:r>
        <w:t xml:space="preserve"> to illustrate </w:t>
      </w:r>
      <w:r w:rsidR="00B4624A">
        <w:t xml:space="preserve">other </w:t>
      </w:r>
      <w:r>
        <w:t>proposals</w:t>
      </w:r>
      <w:r w:rsidR="00B4624A">
        <w:t xml:space="preserve"> to</w:t>
      </w:r>
      <w:r>
        <w:t xml:space="preserve"> change several parts of the Constitution.</w:t>
      </w:r>
    </w:p>
    <w:p w:rsidR="00ED6253" w:rsidRDefault="009A796F" w:rsidP="00CD026B">
      <w:pPr>
        <w:pStyle w:val="ListParagraph"/>
        <w:numPr>
          <w:ilvl w:val="0"/>
          <w:numId w:val="1"/>
        </w:numPr>
        <w:spacing w:after="120"/>
        <w:ind w:left="567" w:hanging="425"/>
      </w:pPr>
      <w:r>
        <w:t xml:space="preserve">Amendments are proposed to the delegated powers given to the Head of Planning and Regulatory Services that are set out in Section 5 to </w:t>
      </w:r>
      <w:r w:rsidR="00936AED">
        <w:t>allow for applications relating to the Council’s housing stock to</w:t>
      </w:r>
      <w:r w:rsidR="00ED6253">
        <w:t xml:space="preserve"> be dealt with more efficiently and to provide clarity. </w:t>
      </w:r>
      <w:r>
        <w:t>The pro</w:t>
      </w:r>
      <w:r w:rsidR="00B2757F">
        <w:t>posals are set out in Appendix 3</w:t>
      </w:r>
      <w:r>
        <w:t>.</w:t>
      </w:r>
    </w:p>
    <w:p w:rsidR="00AF5138" w:rsidRDefault="00ED6253" w:rsidP="00CD026B">
      <w:pPr>
        <w:pStyle w:val="ListParagraph"/>
        <w:numPr>
          <w:ilvl w:val="0"/>
          <w:numId w:val="1"/>
        </w:numPr>
        <w:spacing w:after="120"/>
        <w:ind w:left="567" w:hanging="425"/>
      </w:pPr>
      <w:r>
        <w:t>The Constitution does not currently allow</w:t>
      </w:r>
      <w:r w:rsidR="001E5D5A">
        <w:t xml:space="preserve"> </w:t>
      </w:r>
      <w:r>
        <w:t>for the scrutiny of decisions by the Council in respect of Council owned companies. Proposed amendments are contained in Appendix 3.</w:t>
      </w:r>
    </w:p>
    <w:p w:rsidR="00887E6E" w:rsidRPr="00CD026B" w:rsidRDefault="00C24CFE" w:rsidP="00CD026B">
      <w:pPr>
        <w:pStyle w:val="ListParagraph"/>
        <w:numPr>
          <w:ilvl w:val="0"/>
          <w:numId w:val="1"/>
        </w:numPr>
        <w:spacing w:after="120"/>
        <w:ind w:left="567" w:hanging="425"/>
        <w:rPr>
          <w:rFonts w:cs="Arial"/>
          <w:color w:val="000000"/>
        </w:rPr>
      </w:pPr>
      <w:r>
        <w:t xml:space="preserve">It is necessary to </w:t>
      </w:r>
      <w:r w:rsidRPr="009A796F">
        <w:rPr>
          <w:rFonts w:cs="Arial"/>
          <w:color w:val="000000"/>
        </w:rPr>
        <w:t xml:space="preserve">streamline the decision making process in relation to external funding. Where the Council has been awarded external funds either by way of third party contributions or by way of external grant it seems relatively low risk to commence works in relation to this grant that are in effect fully funded. In fact awaiting a Full Council decision may compromise the conditions of the external funding which is sometimes time limited in terms of it use. The Finance Rules </w:t>
      </w:r>
      <w:r w:rsidR="00887E6E" w:rsidRPr="009A796F">
        <w:rPr>
          <w:rFonts w:cs="Arial"/>
          <w:color w:val="000000"/>
        </w:rPr>
        <w:t xml:space="preserve">currently </w:t>
      </w:r>
      <w:r w:rsidRPr="009A796F">
        <w:rPr>
          <w:rFonts w:cs="Arial"/>
          <w:color w:val="000000"/>
        </w:rPr>
        <w:t xml:space="preserve">preclude the Council commencing work where there is no </w:t>
      </w:r>
      <w:r w:rsidR="00887E6E" w:rsidRPr="009A796F">
        <w:rPr>
          <w:rFonts w:cs="Arial"/>
          <w:color w:val="000000"/>
        </w:rPr>
        <w:t>separate budget identified even</w:t>
      </w:r>
      <w:r w:rsidRPr="009A796F">
        <w:rPr>
          <w:rFonts w:cs="Arial"/>
          <w:color w:val="000000"/>
        </w:rPr>
        <w:t xml:space="preserve"> though the work in question may be fully funded from external resources. The proposed change</w:t>
      </w:r>
      <w:r w:rsidR="009A796F">
        <w:rPr>
          <w:rFonts w:cs="Arial"/>
          <w:color w:val="000000"/>
        </w:rPr>
        <w:t xml:space="preserve"> to paragraph 18.13</w:t>
      </w:r>
      <w:r w:rsidRPr="009A796F">
        <w:rPr>
          <w:rFonts w:cs="Arial"/>
          <w:color w:val="000000"/>
        </w:rPr>
        <w:t xml:space="preserve"> </w:t>
      </w:r>
      <w:r w:rsidR="00544590">
        <w:rPr>
          <w:rFonts w:cs="Arial"/>
          <w:color w:val="000000"/>
        </w:rPr>
        <w:t xml:space="preserve">(in Appendix 3) </w:t>
      </w:r>
      <w:r w:rsidRPr="009A796F">
        <w:rPr>
          <w:rFonts w:cs="Arial"/>
          <w:color w:val="000000"/>
        </w:rPr>
        <w:t>seeks to address this situation.</w:t>
      </w:r>
    </w:p>
    <w:p w:rsidR="000A155F" w:rsidRDefault="009A796F" w:rsidP="00CD026B">
      <w:pPr>
        <w:pStyle w:val="ListParagraph"/>
        <w:numPr>
          <w:ilvl w:val="0"/>
          <w:numId w:val="1"/>
        </w:numPr>
        <w:spacing w:after="120"/>
        <w:ind w:left="567" w:hanging="425"/>
      </w:pPr>
      <w:r w:rsidRPr="00B2757F">
        <w:rPr>
          <w:rFonts w:cs="Arial"/>
          <w:color w:val="000000"/>
        </w:rPr>
        <w:t xml:space="preserve">There are no specific rules for the approval of loans to outside bodies or to wholly </w:t>
      </w:r>
      <w:proofErr w:type="gramStart"/>
      <w:r w:rsidRPr="00B2757F">
        <w:rPr>
          <w:rFonts w:cs="Arial"/>
          <w:color w:val="000000"/>
        </w:rPr>
        <w:t>owned</w:t>
      </w:r>
      <w:proofErr w:type="gramEnd"/>
      <w:r w:rsidRPr="00B2757F">
        <w:rPr>
          <w:rFonts w:cs="Arial"/>
          <w:color w:val="000000"/>
        </w:rPr>
        <w:t xml:space="preserve"> Council companies</w:t>
      </w:r>
      <w:r w:rsidR="001E5D5A">
        <w:rPr>
          <w:rFonts w:cs="Arial"/>
          <w:color w:val="000000"/>
        </w:rPr>
        <w:t xml:space="preserve"> </w:t>
      </w:r>
      <w:r w:rsidRPr="00B2757F">
        <w:rPr>
          <w:rFonts w:cs="Arial"/>
          <w:color w:val="000000"/>
        </w:rPr>
        <w:t xml:space="preserve">within the Councils Constitution. The suggested paragraph 18.23 </w:t>
      </w:r>
      <w:r w:rsidR="00544590">
        <w:rPr>
          <w:rFonts w:cs="Arial"/>
          <w:color w:val="000000"/>
        </w:rPr>
        <w:t xml:space="preserve">(in Appendix 3) </w:t>
      </w:r>
      <w:r w:rsidRPr="00B2757F">
        <w:rPr>
          <w:rFonts w:cs="Arial"/>
          <w:color w:val="000000"/>
        </w:rPr>
        <w:t xml:space="preserve">addresses this situation. </w:t>
      </w:r>
    </w:p>
    <w:p w:rsidR="001C18C8" w:rsidRDefault="001C18C8" w:rsidP="00CD026B">
      <w:pPr>
        <w:pStyle w:val="ListParagraph"/>
        <w:numPr>
          <w:ilvl w:val="0"/>
          <w:numId w:val="1"/>
        </w:numPr>
        <w:spacing w:after="120"/>
        <w:ind w:left="567" w:hanging="425"/>
      </w:pPr>
      <w:r>
        <w:t>Extracts of the Constitution and the Code of Practice for dealing with planning applications at Area Planning Committees and the Council’s Planning Review Committee are reproduced with tracked changes, in Appendix 3. There are proposals for changes to the way that planning applications are dealt with at Committee. T</w:t>
      </w:r>
      <w:r>
        <w:t>he changes to the Code seek to:</w:t>
      </w:r>
    </w:p>
    <w:p w:rsidR="001C18C8" w:rsidRDefault="001C18C8" w:rsidP="00CD026B">
      <w:pPr>
        <w:pStyle w:val="ListParagraph"/>
        <w:numPr>
          <w:ilvl w:val="0"/>
          <w:numId w:val="25"/>
        </w:numPr>
        <w:spacing w:after="120"/>
        <w:ind w:left="1134" w:hanging="567"/>
      </w:pPr>
      <w:r>
        <w:t>provide clarity;</w:t>
      </w:r>
    </w:p>
    <w:p w:rsidR="001C18C8" w:rsidRDefault="001C18C8" w:rsidP="00CD026B">
      <w:pPr>
        <w:pStyle w:val="ListParagraph"/>
        <w:numPr>
          <w:ilvl w:val="0"/>
          <w:numId w:val="25"/>
        </w:numPr>
        <w:spacing w:after="120"/>
        <w:ind w:left="1134" w:hanging="567"/>
      </w:pPr>
      <w:r>
        <w:t xml:space="preserve">allow for adequate briefing of the Chair and members; </w:t>
      </w:r>
    </w:p>
    <w:p w:rsidR="001C18C8" w:rsidRDefault="001C18C8" w:rsidP="00CD026B">
      <w:pPr>
        <w:pStyle w:val="ListParagraph"/>
        <w:numPr>
          <w:ilvl w:val="0"/>
          <w:numId w:val="25"/>
        </w:numPr>
        <w:spacing w:after="120"/>
        <w:ind w:left="1134" w:hanging="567"/>
      </w:pPr>
      <w:r>
        <w:t>allow the efficient administration of the meetings;</w:t>
      </w:r>
    </w:p>
    <w:p w:rsidR="001C18C8" w:rsidRDefault="001C18C8" w:rsidP="00CD026B">
      <w:pPr>
        <w:pStyle w:val="ListParagraph"/>
        <w:numPr>
          <w:ilvl w:val="0"/>
          <w:numId w:val="25"/>
        </w:numPr>
        <w:spacing w:after="120"/>
        <w:ind w:left="1134" w:hanging="567"/>
      </w:pPr>
      <w:r>
        <w:t xml:space="preserve">allow the Chair to better manage the meetings, requests for additional time and order of business; </w:t>
      </w:r>
    </w:p>
    <w:p w:rsidR="001C18C8" w:rsidRDefault="001C18C8" w:rsidP="00CD026B">
      <w:pPr>
        <w:pStyle w:val="ListParagraph"/>
        <w:numPr>
          <w:ilvl w:val="0"/>
          <w:numId w:val="25"/>
        </w:numPr>
        <w:spacing w:after="120"/>
        <w:ind w:left="1134" w:hanging="567"/>
      </w:pPr>
      <w:r>
        <w:t>regularise the practice for su</w:t>
      </w:r>
      <w:r>
        <w:t>bstitutes at Planning Committee</w:t>
      </w:r>
      <w:r>
        <w:t>s since changes should only be made to the membership of a committee in the event of an appointed member being unable to attend and for the whole meeting; and</w:t>
      </w:r>
    </w:p>
    <w:p w:rsidR="00550AC7" w:rsidRDefault="001C18C8" w:rsidP="00CD026B">
      <w:pPr>
        <w:pStyle w:val="ListParagraph"/>
        <w:numPr>
          <w:ilvl w:val="0"/>
          <w:numId w:val="25"/>
        </w:numPr>
        <w:spacing w:after="120"/>
        <w:ind w:left="1134" w:hanging="567"/>
      </w:pPr>
      <w:proofErr w:type="gramStart"/>
      <w:r>
        <w:t>allow</w:t>
      </w:r>
      <w:proofErr w:type="gramEnd"/>
      <w:r>
        <w:t xml:space="preserve"> speakers to be informed of others speaking so that they are better able to prepare and make best use of their available time or to appoint a spokesperson or agree a statement.</w:t>
      </w:r>
    </w:p>
    <w:p w:rsidR="00CD026B" w:rsidRDefault="00CD026B" w:rsidP="00CD026B">
      <w:pPr>
        <w:pStyle w:val="ListParagraph"/>
        <w:spacing w:after="120"/>
        <w:ind w:left="1134"/>
      </w:pPr>
    </w:p>
    <w:p w:rsidR="000677C9" w:rsidRPr="00CD026B" w:rsidRDefault="000677C9" w:rsidP="00CD026B">
      <w:pPr>
        <w:pStyle w:val="ListParagraph"/>
        <w:spacing w:after="120"/>
        <w:ind w:left="0"/>
        <w:rPr>
          <w:b/>
        </w:rPr>
      </w:pPr>
      <w:r w:rsidRPr="000677C9">
        <w:rPr>
          <w:b/>
        </w:rPr>
        <w:t>Whistleblowing Policy (appendix 4)</w:t>
      </w:r>
    </w:p>
    <w:p w:rsidR="001E5D5A" w:rsidRPr="001C18C8" w:rsidRDefault="000677C9" w:rsidP="00CD026B">
      <w:pPr>
        <w:pStyle w:val="ListParagraph"/>
        <w:numPr>
          <w:ilvl w:val="0"/>
          <w:numId w:val="1"/>
        </w:numPr>
        <w:spacing w:after="120"/>
        <w:ind w:left="567" w:hanging="425"/>
      </w:pPr>
      <w:r>
        <w:t xml:space="preserve">A proposed annex to the Whistleblowing Policy is attached as Appendix 4 to the report. The annex is a flowchart which sets out how a whistleblowing concern will be dealt with. The addition of the flowchart is to aid understanding of the policy contained in </w:t>
      </w:r>
      <w:r w:rsidR="00F85B1C">
        <w:t>Section</w:t>
      </w:r>
      <w:r>
        <w:t xml:space="preserve"> 25 of the Constitution.</w:t>
      </w:r>
    </w:p>
    <w:p w:rsidR="001E5D5A" w:rsidRDefault="001E5D5A" w:rsidP="00CD026B">
      <w:pPr>
        <w:spacing w:after="120"/>
        <w:rPr>
          <w:b/>
        </w:rPr>
      </w:pPr>
    </w:p>
    <w:p w:rsidR="00916CA1" w:rsidRDefault="00916CA1" w:rsidP="00CD026B">
      <w:pPr>
        <w:spacing w:after="120"/>
        <w:rPr>
          <w:b/>
        </w:rPr>
      </w:pPr>
      <w:r w:rsidRPr="00916CA1">
        <w:rPr>
          <w:b/>
        </w:rPr>
        <w:t>Financial and Legal Implications</w:t>
      </w:r>
    </w:p>
    <w:p w:rsidR="00916CA1" w:rsidRPr="00916CA1" w:rsidRDefault="00916CA1" w:rsidP="00CD026B">
      <w:pPr>
        <w:pStyle w:val="ListParagraph"/>
        <w:numPr>
          <w:ilvl w:val="0"/>
          <w:numId w:val="1"/>
        </w:numPr>
        <w:spacing w:after="120"/>
        <w:ind w:left="567" w:hanging="567"/>
      </w:pPr>
      <w:r>
        <w:t xml:space="preserve">There are no financial or legal implications arising from the </w:t>
      </w:r>
      <w:r w:rsidR="005F6645">
        <w:t>recommendations contained in the report.</w:t>
      </w:r>
    </w:p>
    <w:p w:rsidR="00544A11" w:rsidRDefault="00544A11" w:rsidP="00544A11"/>
    <w:p w:rsidR="00CD026B" w:rsidRDefault="00CD026B" w:rsidP="00544A11"/>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44A11" w:rsidTr="00544A11">
        <w:tc>
          <w:tcPr>
            <w:tcW w:w="8522" w:type="dxa"/>
          </w:tcPr>
          <w:p w:rsidR="00544A11" w:rsidRDefault="00544A11" w:rsidP="00544A11">
            <w:pPr>
              <w:tabs>
                <w:tab w:val="left" w:pos="720"/>
                <w:tab w:val="left" w:pos="1440"/>
                <w:tab w:val="left" w:pos="2160"/>
                <w:tab w:val="left" w:pos="2880"/>
              </w:tabs>
            </w:pPr>
            <w:r>
              <w:rPr>
                <w:b/>
                <w:bCs/>
              </w:rPr>
              <w:t>Name and contact details of author:-</w:t>
            </w:r>
          </w:p>
        </w:tc>
      </w:tr>
      <w:tr w:rsidR="00544A11" w:rsidTr="00544A11">
        <w:tc>
          <w:tcPr>
            <w:tcW w:w="8522" w:type="dxa"/>
          </w:tcPr>
          <w:p w:rsidR="00544A11" w:rsidRDefault="00544A11" w:rsidP="00544A11">
            <w:pPr>
              <w:tabs>
                <w:tab w:val="left" w:pos="720"/>
                <w:tab w:val="left" w:pos="1440"/>
                <w:tab w:val="left" w:pos="2160"/>
                <w:tab w:val="left" w:pos="2880"/>
              </w:tabs>
            </w:pPr>
          </w:p>
        </w:tc>
      </w:tr>
      <w:tr w:rsidR="00544A11" w:rsidTr="00544A11">
        <w:tc>
          <w:tcPr>
            <w:tcW w:w="8522" w:type="dxa"/>
          </w:tcPr>
          <w:p w:rsidR="00544A11" w:rsidRDefault="00C22F72" w:rsidP="00544A11">
            <w:pPr>
              <w:tabs>
                <w:tab w:val="left" w:pos="720"/>
                <w:tab w:val="left" w:pos="1440"/>
                <w:tab w:val="left" w:pos="2160"/>
                <w:tab w:val="left" w:pos="2880"/>
              </w:tabs>
            </w:pPr>
            <w:r>
              <w:t>Emma Griffiths</w:t>
            </w:r>
          </w:p>
        </w:tc>
      </w:tr>
      <w:tr w:rsidR="00544A11" w:rsidTr="00544A11">
        <w:tc>
          <w:tcPr>
            <w:tcW w:w="8522" w:type="dxa"/>
          </w:tcPr>
          <w:p w:rsidR="00C22F72" w:rsidRDefault="00157C3F" w:rsidP="00544A11">
            <w:pPr>
              <w:tabs>
                <w:tab w:val="left" w:pos="720"/>
                <w:tab w:val="left" w:pos="1440"/>
                <w:tab w:val="left" w:pos="2160"/>
                <w:tab w:val="left" w:pos="2880"/>
              </w:tabs>
            </w:pPr>
            <w:r>
              <w:t>L</w:t>
            </w:r>
            <w:r w:rsidR="00C22F72">
              <w:t>awyer</w:t>
            </w:r>
          </w:p>
          <w:p w:rsidR="00544A11" w:rsidRDefault="00C22F72" w:rsidP="00C22F72">
            <w:pPr>
              <w:tabs>
                <w:tab w:val="left" w:pos="720"/>
                <w:tab w:val="left" w:pos="1440"/>
                <w:tab w:val="left" w:pos="2160"/>
                <w:tab w:val="left" w:pos="2880"/>
              </w:tabs>
            </w:pPr>
            <w:r>
              <w:t xml:space="preserve">Law &amp; Governance </w:t>
            </w:r>
          </w:p>
        </w:tc>
      </w:tr>
      <w:tr w:rsidR="00544A11" w:rsidTr="00CF4F79">
        <w:trPr>
          <w:trHeight w:val="175"/>
        </w:trPr>
        <w:tc>
          <w:tcPr>
            <w:tcW w:w="8522" w:type="dxa"/>
          </w:tcPr>
          <w:p w:rsidR="00544A11" w:rsidRDefault="00C22F72" w:rsidP="00544A11">
            <w:pPr>
              <w:tabs>
                <w:tab w:val="left" w:pos="720"/>
                <w:tab w:val="left" w:pos="1440"/>
                <w:tab w:val="left" w:pos="2160"/>
                <w:tab w:val="left" w:pos="2880"/>
              </w:tabs>
            </w:pPr>
            <w:r>
              <w:t>Tel:  01865 252208</w:t>
            </w:r>
            <w:r w:rsidR="00544A11">
              <w:t xml:space="preserve"> </w:t>
            </w:r>
          </w:p>
          <w:p w:rsidR="00544A11" w:rsidRDefault="00544A11" w:rsidP="00C22F72">
            <w:pPr>
              <w:tabs>
                <w:tab w:val="left" w:pos="720"/>
                <w:tab w:val="left" w:pos="1440"/>
                <w:tab w:val="left" w:pos="2160"/>
                <w:tab w:val="left" w:pos="2880"/>
              </w:tabs>
              <w:rPr>
                <w:color w:val="0000FF"/>
                <w:u w:val="single"/>
              </w:rPr>
            </w:pPr>
            <w:r>
              <w:t xml:space="preserve"> e-mail:  </w:t>
            </w:r>
            <w:r w:rsidR="00C22F72">
              <w:rPr>
                <w:color w:val="0000FF"/>
                <w:u w:val="single"/>
              </w:rPr>
              <w:t>egriffiths@oxford.gov.uk</w:t>
            </w:r>
          </w:p>
        </w:tc>
      </w:tr>
    </w:tbl>
    <w:p w:rsidR="001C18C8" w:rsidRDefault="001C18C8" w:rsidP="00544A11">
      <w:pPr>
        <w:rPr>
          <w:b/>
          <w:bCs/>
        </w:rPr>
      </w:pPr>
    </w:p>
    <w:p w:rsidR="00CD026B" w:rsidRDefault="00CD026B" w:rsidP="00544A11">
      <w:pPr>
        <w:rPr>
          <w:b/>
          <w:bCs/>
        </w:rPr>
      </w:pPr>
    </w:p>
    <w:p w:rsidR="001D1F27" w:rsidRDefault="00544A11" w:rsidP="00544A11">
      <w:pPr>
        <w:rPr>
          <w:b/>
          <w:bCs/>
        </w:rPr>
      </w:pPr>
      <w:r>
        <w:rPr>
          <w:b/>
          <w:bCs/>
        </w:rPr>
        <w:t>Background papers: none</w:t>
      </w:r>
    </w:p>
    <w:p w:rsidR="00544A11" w:rsidRDefault="00544A11"/>
    <w:sectPr w:rsidR="00544A11" w:rsidSect="00D4311C">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247"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13" w:rsidRDefault="00942713">
      <w:r>
        <w:separator/>
      </w:r>
    </w:p>
  </w:endnote>
  <w:endnote w:type="continuationSeparator" w:id="0">
    <w:p w:rsidR="00942713" w:rsidRDefault="0094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13" w:rsidRDefault="00942713">
      <w:r>
        <w:separator/>
      </w:r>
    </w:p>
  </w:footnote>
  <w:footnote w:type="continuationSeparator" w:id="0">
    <w:p w:rsidR="00942713" w:rsidRDefault="0094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1B5990"/>
    <w:multiLevelType w:val="hybridMultilevel"/>
    <w:tmpl w:val="1C1CE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885F25"/>
    <w:multiLevelType w:val="hybridMultilevel"/>
    <w:tmpl w:val="42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0">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0E16ED"/>
    <w:multiLevelType w:val="hybridMultilevel"/>
    <w:tmpl w:val="A210C7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BE56A4"/>
    <w:multiLevelType w:val="hybridMultilevel"/>
    <w:tmpl w:val="0FB4D9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5"/>
  </w:num>
  <w:num w:numId="4">
    <w:abstractNumId w:val="19"/>
  </w:num>
  <w:num w:numId="5">
    <w:abstractNumId w:val="16"/>
  </w:num>
  <w:num w:numId="6">
    <w:abstractNumId w:val="8"/>
  </w:num>
  <w:num w:numId="7">
    <w:abstractNumId w:val="8"/>
  </w:num>
  <w:num w:numId="8">
    <w:abstractNumId w:val="11"/>
  </w:num>
  <w:num w:numId="9">
    <w:abstractNumId w:val="12"/>
  </w:num>
  <w:num w:numId="10">
    <w:abstractNumId w:val="17"/>
  </w:num>
  <w:num w:numId="11">
    <w:abstractNumId w:val="0"/>
  </w:num>
  <w:num w:numId="12">
    <w:abstractNumId w:val="0"/>
  </w:num>
  <w:num w:numId="13">
    <w:abstractNumId w:val="9"/>
  </w:num>
  <w:num w:numId="14">
    <w:abstractNumId w:val="14"/>
  </w:num>
  <w:num w:numId="15">
    <w:abstractNumId w:val="13"/>
  </w:num>
  <w:num w:numId="16">
    <w:abstractNumId w:val="2"/>
  </w:num>
  <w:num w:numId="17">
    <w:abstractNumId w:val="4"/>
  </w:num>
  <w:num w:numId="18">
    <w:abstractNumId w:val="6"/>
  </w:num>
  <w:num w:numId="19">
    <w:abstractNumId w:val="10"/>
  </w:num>
  <w:num w:numId="20">
    <w:abstractNumId w:val="7"/>
  </w:num>
  <w:num w:numId="21">
    <w:abstractNumId w:val="18"/>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119A7"/>
    <w:rsid w:val="0001673E"/>
    <w:rsid w:val="00025A2E"/>
    <w:rsid w:val="00054D35"/>
    <w:rsid w:val="00061FDD"/>
    <w:rsid w:val="0006404A"/>
    <w:rsid w:val="00066F20"/>
    <w:rsid w:val="000677C9"/>
    <w:rsid w:val="00070D77"/>
    <w:rsid w:val="00071246"/>
    <w:rsid w:val="00081723"/>
    <w:rsid w:val="000A155F"/>
    <w:rsid w:val="000A3296"/>
    <w:rsid w:val="000D212C"/>
    <w:rsid w:val="000E026B"/>
    <w:rsid w:val="000E3E1B"/>
    <w:rsid w:val="000F6763"/>
    <w:rsid w:val="0011488C"/>
    <w:rsid w:val="00157C3F"/>
    <w:rsid w:val="00160FBF"/>
    <w:rsid w:val="00161F60"/>
    <w:rsid w:val="00184404"/>
    <w:rsid w:val="0019239A"/>
    <w:rsid w:val="0019652A"/>
    <w:rsid w:val="001A3E87"/>
    <w:rsid w:val="001B4FE3"/>
    <w:rsid w:val="001B7016"/>
    <w:rsid w:val="001C18C8"/>
    <w:rsid w:val="001C41E5"/>
    <w:rsid w:val="001D1F27"/>
    <w:rsid w:val="001E5D5A"/>
    <w:rsid w:val="001F234E"/>
    <w:rsid w:val="00202E1D"/>
    <w:rsid w:val="00213787"/>
    <w:rsid w:val="00223719"/>
    <w:rsid w:val="00223879"/>
    <w:rsid w:val="002350AC"/>
    <w:rsid w:val="00260431"/>
    <w:rsid w:val="00277576"/>
    <w:rsid w:val="00293304"/>
    <w:rsid w:val="002A0473"/>
    <w:rsid w:val="002A65FA"/>
    <w:rsid w:val="002B7054"/>
    <w:rsid w:val="002B74E3"/>
    <w:rsid w:val="002E1CA2"/>
    <w:rsid w:val="002F457A"/>
    <w:rsid w:val="00307A87"/>
    <w:rsid w:val="00337102"/>
    <w:rsid w:val="003462D2"/>
    <w:rsid w:val="00367300"/>
    <w:rsid w:val="00370887"/>
    <w:rsid w:val="00370B42"/>
    <w:rsid w:val="003D3660"/>
    <w:rsid w:val="004027C7"/>
    <w:rsid w:val="00433AB6"/>
    <w:rsid w:val="00435325"/>
    <w:rsid w:val="00455C35"/>
    <w:rsid w:val="004718F0"/>
    <w:rsid w:val="0048652C"/>
    <w:rsid w:val="004A3759"/>
    <w:rsid w:val="004A45D5"/>
    <w:rsid w:val="004D1BF1"/>
    <w:rsid w:val="004D20D8"/>
    <w:rsid w:val="004D309E"/>
    <w:rsid w:val="004D6EB8"/>
    <w:rsid w:val="004E6A70"/>
    <w:rsid w:val="004F7A3D"/>
    <w:rsid w:val="00520169"/>
    <w:rsid w:val="00524B98"/>
    <w:rsid w:val="00524FE3"/>
    <w:rsid w:val="00542CD2"/>
    <w:rsid w:val="00544590"/>
    <w:rsid w:val="00544A11"/>
    <w:rsid w:val="00550AC7"/>
    <w:rsid w:val="00572CD3"/>
    <w:rsid w:val="005A22D7"/>
    <w:rsid w:val="005B58BB"/>
    <w:rsid w:val="005C0B95"/>
    <w:rsid w:val="005C1E9B"/>
    <w:rsid w:val="005D1797"/>
    <w:rsid w:val="005E1D8B"/>
    <w:rsid w:val="005E77F7"/>
    <w:rsid w:val="005F6645"/>
    <w:rsid w:val="00622206"/>
    <w:rsid w:val="0062361D"/>
    <w:rsid w:val="00647385"/>
    <w:rsid w:val="00665290"/>
    <w:rsid w:val="006A0963"/>
    <w:rsid w:val="006B7EFC"/>
    <w:rsid w:val="006D237C"/>
    <w:rsid w:val="006D430C"/>
    <w:rsid w:val="006E24E8"/>
    <w:rsid w:val="006E55F2"/>
    <w:rsid w:val="00710AE0"/>
    <w:rsid w:val="00717259"/>
    <w:rsid w:val="0072250F"/>
    <w:rsid w:val="007949A7"/>
    <w:rsid w:val="007A663E"/>
    <w:rsid w:val="007B0025"/>
    <w:rsid w:val="007F27C2"/>
    <w:rsid w:val="007F3A1A"/>
    <w:rsid w:val="008507A2"/>
    <w:rsid w:val="00874429"/>
    <w:rsid w:val="008819E5"/>
    <w:rsid w:val="00886639"/>
    <w:rsid w:val="00887E6E"/>
    <w:rsid w:val="00891DE9"/>
    <w:rsid w:val="008A29B5"/>
    <w:rsid w:val="008B7806"/>
    <w:rsid w:val="008C7D02"/>
    <w:rsid w:val="0091493B"/>
    <w:rsid w:val="00916CA1"/>
    <w:rsid w:val="00936AED"/>
    <w:rsid w:val="00942713"/>
    <w:rsid w:val="00943B84"/>
    <w:rsid w:val="00961F33"/>
    <w:rsid w:val="00976BE0"/>
    <w:rsid w:val="009A796F"/>
    <w:rsid w:val="009B0D52"/>
    <w:rsid w:val="009C243B"/>
    <w:rsid w:val="009D3C6F"/>
    <w:rsid w:val="009E4B16"/>
    <w:rsid w:val="009F39DB"/>
    <w:rsid w:val="009F68C3"/>
    <w:rsid w:val="00A5068B"/>
    <w:rsid w:val="00A57B85"/>
    <w:rsid w:val="00A874E8"/>
    <w:rsid w:val="00AB1D54"/>
    <w:rsid w:val="00AB7829"/>
    <w:rsid w:val="00AD5D1A"/>
    <w:rsid w:val="00AF5138"/>
    <w:rsid w:val="00B0576B"/>
    <w:rsid w:val="00B2757F"/>
    <w:rsid w:val="00B4624A"/>
    <w:rsid w:val="00B766C8"/>
    <w:rsid w:val="00B90DF9"/>
    <w:rsid w:val="00B95028"/>
    <w:rsid w:val="00BD254B"/>
    <w:rsid w:val="00BE6838"/>
    <w:rsid w:val="00C01651"/>
    <w:rsid w:val="00C131EF"/>
    <w:rsid w:val="00C22F72"/>
    <w:rsid w:val="00C24CFE"/>
    <w:rsid w:val="00C26788"/>
    <w:rsid w:val="00C413CC"/>
    <w:rsid w:val="00C8098B"/>
    <w:rsid w:val="00C908FE"/>
    <w:rsid w:val="00CB4514"/>
    <w:rsid w:val="00CB6453"/>
    <w:rsid w:val="00CC00BF"/>
    <w:rsid w:val="00CC014B"/>
    <w:rsid w:val="00CD026B"/>
    <w:rsid w:val="00CD2166"/>
    <w:rsid w:val="00CE2F43"/>
    <w:rsid w:val="00CF4F79"/>
    <w:rsid w:val="00D05712"/>
    <w:rsid w:val="00D128F1"/>
    <w:rsid w:val="00D20BFE"/>
    <w:rsid w:val="00D34045"/>
    <w:rsid w:val="00D4311C"/>
    <w:rsid w:val="00D50754"/>
    <w:rsid w:val="00D557D8"/>
    <w:rsid w:val="00D77895"/>
    <w:rsid w:val="00D81F21"/>
    <w:rsid w:val="00DE7B3D"/>
    <w:rsid w:val="00DF389C"/>
    <w:rsid w:val="00E01D51"/>
    <w:rsid w:val="00E1713A"/>
    <w:rsid w:val="00E360A6"/>
    <w:rsid w:val="00E5030E"/>
    <w:rsid w:val="00E54FA8"/>
    <w:rsid w:val="00E56045"/>
    <w:rsid w:val="00E64A3D"/>
    <w:rsid w:val="00E902C0"/>
    <w:rsid w:val="00E928F3"/>
    <w:rsid w:val="00EA220E"/>
    <w:rsid w:val="00EB3D3A"/>
    <w:rsid w:val="00EC2EC3"/>
    <w:rsid w:val="00ED6253"/>
    <w:rsid w:val="00EF02C4"/>
    <w:rsid w:val="00EF79C0"/>
    <w:rsid w:val="00F047FA"/>
    <w:rsid w:val="00F14F92"/>
    <w:rsid w:val="00F1682D"/>
    <w:rsid w:val="00F27138"/>
    <w:rsid w:val="00F43EAF"/>
    <w:rsid w:val="00F47B96"/>
    <w:rsid w:val="00F55C71"/>
    <w:rsid w:val="00F7745B"/>
    <w:rsid w:val="00F83A77"/>
    <w:rsid w:val="00F85B1C"/>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3333">
      <w:bodyDiv w:val="1"/>
      <w:marLeft w:val="0"/>
      <w:marRight w:val="0"/>
      <w:marTop w:val="0"/>
      <w:marBottom w:val="0"/>
      <w:divBdr>
        <w:top w:val="none" w:sz="0" w:space="0" w:color="auto"/>
        <w:left w:val="none" w:sz="0" w:space="0" w:color="auto"/>
        <w:bottom w:val="none" w:sz="0" w:space="0" w:color="auto"/>
        <w:right w:val="none" w:sz="0" w:space="0" w:color="auto"/>
      </w:divBdr>
    </w:div>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 w:id="1752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AFDE-074D-4083-9D4D-6D96E02C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E7A62B5D</Template>
  <TotalTime>399</TotalTime>
  <Pages>3</Pages>
  <Words>875</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17</cp:revision>
  <cp:lastPrinted>2016-03-21T10:56:00Z</cp:lastPrinted>
  <dcterms:created xsi:type="dcterms:W3CDTF">2017-02-20T11:11:00Z</dcterms:created>
  <dcterms:modified xsi:type="dcterms:W3CDTF">2017-04-07T10:41:00Z</dcterms:modified>
</cp:coreProperties>
</file>